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3784"/>
        <w:gridCol w:w="3479"/>
        <w:gridCol w:w="3479"/>
      </w:tblGrid>
      <w:tr w:rsidR="00602549" w:rsidTr="0060254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Position</w:t>
            </w:r>
          </w:p>
        </w:tc>
        <w:tc>
          <w:tcPr>
            <w:tcW w:w="7263" w:type="dxa"/>
            <w:gridSpan w:val="2"/>
            <w:tcBorders>
              <w:top w:val="single" w:sz="8" w:space="0" w:color="1A1A1A"/>
              <w:right w:val="single" w:sz="8" w:space="0" w:color="1A1A1A"/>
            </w:tcBorders>
            <w:shd w:val="clear" w:color="auto" w:fill="C1C1C1"/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 </w:t>
            </w:r>
          </w:p>
        </w:tc>
        <w:tc>
          <w:tcPr>
            <w:tcW w:w="3479" w:type="dxa"/>
            <w:vMerge w:val="restart"/>
            <w:tcBorders>
              <w:top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C1C1C1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Expenditure ($)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C1C1C1"/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Salary ($)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C1C1C1"/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Staff Number</w:t>
            </w:r>
          </w:p>
        </w:tc>
        <w:tc>
          <w:tcPr>
            <w:tcW w:w="3479" w:type="dxa"/>
            <w:vMerge/>
            <w:tcBorders>
              <w:top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C1C1C1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Head of School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100,000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100,000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Director of Curriculum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65,000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65,000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School Secretary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40,000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80,000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Maintenance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40,000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80,000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Guidance Counselor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65,000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130,000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Exmissions</w:t>
            </w:r>
            <w:proofErr w:type="spellEnd"/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 xml:space="preserve"> Associate (1/2 time)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33,000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33,000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Teachers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55,000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20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1,100,000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½ time F Status Teachers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27,500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4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110,000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Visiting Professionals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154.97 (per diem)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7 (2 visits per week over 30 weeks)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65,087.40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479" w:type="dxa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000000"/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000000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 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000000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 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000000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1A1A1A"/>
                <w:sz w:val="26"/>
                <w:szCs w:val="26"/>
              </w:rPr>
              <w:t> 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263" w:type="dxa"/>
            <w:gridSpan w:val="2"/>
            <w:vMerge w:val="restart"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000000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color w:val="FFFFFF"/>
                <w:sz w:val="192"/>
                <w:szCs w:val="192"/>
              </w:rPr>
              <w:t>LIFE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EFEFEF"/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Total Expenditure ($)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1,763,087.40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263" w:type="dxa"/>
            <w:gridSpan w:val="2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000000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EFEFEF"/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Total Predicted NYCDOE Allocation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1,643,190.40</w:t>
            </w:r>
          </w:p>
        </w:tc>
      </w:tr>
      <w:tr w:rsidR="00602549" w:rsidTr="006025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263" w:type="dxa"/>
            <w:gridSpan w:val="2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000000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EFEFEF"/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Predicted Fundraising*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225,000</w:t>
            </w:r>
          </w:p>
        </w:tc>
      </w:tr>
      <w:tr w:rsidR="00602549" w:rsidTr="0060254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263" w:type="dxa"/>
            <w:gridSpan w:val="2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000000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EFEFEF"/>
            <w:tcMar>
              <w:top w:w="140" w:type="nil"/>
              <w:right w:w="140" w:type="nil"/>
            </w:tcMar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Predicted Surplus**</w:t>
            </w:r>
          </w:p>
        </w:tc>
        <w:tc>
          <w:tcPr>
            <w:tcW w:w="3479" w:type="dxa"/>
            <w:tcBorders>
              <w:bottom w:val="single" w:sz="8" w:space="0" w:color="1A1A1A"/>
              <w:right w:val="single" w:sz="8" w:space="0" w:color="1A1A1A"/>
            </w:tcBorders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:rsidR="00602549" w:rsidRDefault="0060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color w:val="1A1A1A"/>
                <w:sz w:val="26"/>
                <w:szCs w:val="26"/>
              </w:rPr>
              <w:t>105,103</w:t>
            </w:r>
          </w:p>
        </w:tc>
      </w:tr>
      <w:bookmarkEnd w:id="0"/>
    </w:tbl>
    <w:p w:rsidR="00602549" w:rsidRDefault="00602549" w:rsidP="006025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02549" w:rsidRDefault="00602549" w:rsidP="006025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02549" w:rsidRDefault="00602549" w:rsidP="006025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02549" w:rsidRDefault="00602549" w:rsidP="006025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02549" w:rsidRDefault="00602549" w:rsidP="006025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02549" w:rsidRDefault="00602549" w:rsidP="006025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02549" w:rsidRDefault="00602549" w:rsidP="006025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02549" w:rsidRDefault="00602549" w:rsidP="006025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Book Antiqua" w:hAnsi="Book Antiqua" w:cs="Book Antiqua"/>
          <w:color w:val="1A1A1A"/>
          <w:sz w:val="26"/>
          <w:szCs w:val="26"/>
        </w:rPr>
        <w:t>*2014-2015 Fundraising Predictions are conservatively estimated as 75% of the mean average of the past 4 yearly fundraising totals.</w:t>
      </w:r>
    </w:p>
    <w:p w:rsidR="003E549D" w:rsidRDefault="00602549" w:rsidP="00602549">
      <w:r>
        <w:rPr>
          <w:rFonts w:ascii="Book Antiqua" w:hAnsi="Book Antiqua" w:cs="Book Antiqua"/>
          <w:color w:val="1A1A1A"/>
          <w:sz w:val="26"/>
          <w:szCs w:val="26"/>
        </w:rPr>
        <w:t>**Consistent with NYCDOE Regulation of the Chancellor A-610, LIFE’s annual school fundraising is deposited directly into the school treasury.  The funds benefit LIFE’s educational, social, and/or cultural programs, including, but not limited to, immediate and future staffing, OTPS expenditures, and professional partnerships as approved by the Head of School.</w:t>
      </w:r>
    </w:p>
    <w:sectPr w:rsidR="003E549D" w:rsidSect="006025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49"/>
    <w:rsid w:val="003E549D"/>
    <w:rsid w:val="00602549"/>
    <w:rsid w:val="007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C3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931</Characters>
  <Application>Microsoft Macintosh Word</Application>
  <DocSecurity>0</DocSecurity>
  <Lines>38</Lines>
  <Paragraphs>28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Mann</dc:creator>
  <cp:keywords/>
  <dc:description/>
  <cp:lastModifiedBy>Lindsay Mann</cp:lastModifiedBy>
  <cp:revision>1</cp:revision>
  <dcterms:created xsi:type="dcterms:W3CDTF">2013-12-10T03:39:00Z</dcterms:created>
  <dcterms:modified xsi:type="dcterms:W3CDTF">2013-12-10T03:40:00Z</dcterms:modified>
</cp:coreProperties>
</file>